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Pr="0083483B" w:rsidRDefault="004141DF" w:rsidP="00934AC1">
      <w:pPr>
        <w:pStyle w:val="ChapterTitle"/>
        <w:rPr>
          <w:sz w:val="22"/>
          <w:lang w:val="ru-RU"/>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3146B4" w:rsidRPr="003146B4" w:rsidRDefault="00934AC1" w:rsidP="0083483B">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w:t>
      </w:r>
      <w:r w:rsidR="00CF3687">
        <w:rPr>
          <w:b/>
          <w:sz w:val="22"/>
        </w:rPr>
        <w:t xml:space="preserve">ия на национално равнище):  </w:t>
      </w:r>
      <w:hyperlink r:id="rId8" w:history="1">
        <w:r w:rsidR="003146B4" w:rsidRPr="005D7C4F">
          <w:rPr>
            <w:rStyle w:val="Hyperlink"/>
            <w:sz w:val="22"/>
            <w:lang w:val="ru-RU"/>
          </w:rPr>
          <w:t>http://www.kznpp.org/index.php?lang=bg&amp;p=actuality&amp;p1=communally_orders&amp;id=4043</w:t>
        </w:r>
      </w:hyperlink>
      <w:r w:rsidR="003146B4">
        <w:rPr>
          <w:sz w:val="22"/>
          <w:lang w:val="ru-RU"/>
        </w:rPr>
        <w:tab/>
      </w: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55536A" w:rsidP="00934AC1">
            <w:r>
              <w:rPr>
                <w:sz w:val="22"/>
                <w:lang w:val="en-US"/>
              </w:rPr>
              <w:t>“</w:t>
            </w:r>
            <w:r>
              <w:rPr>
                <w:sz w:val="22"/>
              </w:rPr>
              <w:t>АЕЦ Козлодуй</w:t>
            </w:r>
            <w:r>
              <w:rPr>
                <w:sz w:val="22"/>
                <w:lang w:val="en-US"/>
              </w:rPr>
              <w:t>”</w:t>
            </w:r>
            <w:r>
              <w:rPr>
                <w:sz w:val="22"/>
              </w:rPr>
              <w:t xml:space="preserve">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55536A" w:rsidRPr="003146B4" w:rsidRDefault="003146B4" w:rsidP="003146B4">
            <w:pPr>
              <w:spacing w:line="260" w:lineRule="exact"/>
              <w:rPr>
                <w:lang w:val="ru-RU"/>
              </w:rPr>
            </w:pPr>
            <w:r w:rsidRPr="004B2DBF">
              <w:rPr>
                <w:b/>
              </w:rPr>
              <w:t>“</w:t>
            </w:r>
            <w:proofErr w:type="spellStart"/>
            <w:r w:rsidRPr="004B2DBF">
              <w:rPr>
                <w:b/>
                <w:bCs/>
                <w:lang w:val="ru-RU"/>
              </w:rPr>
              <w:t>Разработване</w:t>
            </w:r>
            <w:proofErr w:type="spellEnd"/>
            <w:r w:rsidRPr="004B2DBF">
              <w:rPr>
                <w:b/>
                <w:bCs/>
                <w:lang w:val="ru-RU"/>
              </w:rPr>
              <w:t xml:space="preserve"> на </w:t>
            </w:r>
            <w:proofErr w:type="spellStart"/>
            <w:r w:rsidRPr="004B2DBF">
              <w:rPr>
                <w:b/>
                <w:bCs/>
                <w:lang w:val="ru-RU"/>
              </w:rPr>
              <w:t>конструкторска</w:t>
            </w:r>
            <w:proofErr w:type="spellEnd"/>
            <w:r w:rsidRPr="004B2DBF">
              <w:rPr>
                <w:b/>
                <w:bCs/>
                <w:lang w:val="ru-RU"/>
              </w:rPr>
              <w:t xml:space="preserve"> документация за модернизация на </w:t>
            </w:r>
            <w:proofErr w:type="spellStart"/>
            <w:r w:rsidRPr="004B2DBF">
              <w:rPr>
                <w:b/>
                <w:bCs/>
                <w:lang w:val="ru-RU"/>
              </w:rPr>
              <w:lastRenderedPageBreak/>
              <w:t>схемата</w:t>
            </w:r>
            <w:proofErr w:type="spellEnd"/>
            <w:r w:rsidRPr="004B2DBF">
              <w:rPr>
                <w:b/>
                <w:bCs/>
                <w:lang w:val="ru-RU"/>
              </w:rPr>
              <w:t xml:space="preserve"> за управление на </w:t>
            </w:r>
            <w:proofErr w:type="spellStart"/>
            <w:r w:rsidRPr="004B2DBF">
              <w:rPr>
                <w:b/>
                <w:bCs/>
                <w:lang w:val="ru-RU"/>
              </w:rPr>
              <w:t>регулиращи</w:t>
            </w:r>
            <w:proofErr w:type="spellEnd"/>
            <w:r w:rsidRPr="004B2DBF">
              <w:rPr>
                <w:b/>
                <w:bCs/>
                <w:lang w:val="ru-RU"/>
              </w:rPr>
              <w:t xml:space="preserve"> заслонки на ТГ-9 в АЕЦ “</w:t>
            </w:r>
            <w:proofErr w:type="spellStart"/>
            <w:r w:rsidRPr="004B2DBF">
              <w:rPr>
                <w:b/>
                <w:bCs/>
                <w:lang w:val="ru-RU"/>
              </w:rPr>
              <w:t>Козлодуй</w:t>
            </w:r>
            <w:proofErr w:type="spellEnd"/>
            <w:r w:rsidRPr="004B2DBF">
              <w:rPr>
                <w:b/>
                <w:bCs/>
                <w:lang w:val="ru-RU"/>
              </w:rPr>
              <w:t xml:space="preserve">”, 5 </w:t>
            </w:r>
            <w:proofErr w:type="spellStart"/>
            <w:r w:rsidRPr="004B2DBF">
              <w:rPr>
                <w:b/>
                <w:bCs/>
                <w:lang w:val="ru-RU"/>
              </w:rPr>
              <w:t>енергоблок</w:t>
            </w:r>
            <w:proofErr w:type="spellEnd"/>
            <w:r w:rsidRPr="004B2DBF">
              <w:rPr>
                <w:b/>
              </w:rPr>
              <w:t>”</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83483B" w:rsidRDefault="003146B4" w:rsidP="00544720">
            <w:r w:rsidRPr="003146B4">
              <w:rPr>
                <w:sz w:val="22"/>
                <w:lang w:val="en-US"/>
              </w:rPr>
              <w:t>39958</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микро-,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а) Моля посочете наименованието на списъка или сертификата и съответния регистрационен или сертификационен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w:t>
            </w:r>
            <w:r w:rsidRPr="00440C60">
              <w:rPr>
                <w:b/>
                <w:sz w:val="22"/>
                <w:u w:val="single"/>
              </w:rPr>
              <w:lastRenderedPageBreak/>
              <w:t>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lastRenderedPageBreak/>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lastRenderedPageBreak/>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 xml:space="preserve">Основания, свързани с наказателни присъди </w:t>
            </w:r>
            <w:r w:rsidRPr="00D17798">
              <w:rPr>
                <w:b/>
                <w:i/>
                <w:sz w:val="22"/>
              </w:rPr>
              <w:lastRenderedPageBreak/>
              <w:t>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lastRenderedPageBreak/>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съответната(ите)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Плащане на данъци или социалноосигурителни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задължения, свързани с плащането на данъци или социалноосигурителни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r w:rsidRPr="00D17798">
              <w:rPr>
                <w:b/>
                <w:sz w:val="22"/>
              </w:rPr>
              <w:t>Социалноосигурителни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социалноосигурителни вноски е на </w:t>
            </w:r>
            <w:r w:rsidR="00934AC1" w:rsidRPr="00D17798">
              <w:rPr>
                <w:i/>
                <w:sz w:val="22"/>
              </w:rPr>
              <w:lastRenderedPageBreak/>
              <w:t>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lastRenderedPageBreak/>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 xml:space="preserve">Моля, посочете причините, поради </w:t>
            </w:r>
            <w:r w:rsidRPr="00A3003C">
              <w:rPr>
                <w:sz w:val="22"/>
              </w:rPr>
              <w:lastRenderedPageBreak/>
              <w:t>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Ако съответните документи са на разположение в електронен формат, моля, 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lastRenderedPageBreak/>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(уеб адрес, орган или служба, издаващи 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lastRenderedPageBreak/>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илираздели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lastRenderedPageBreak/>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 xml:space="preserve">(уеб адрес, орган или служба, издаващи документа, точно позоваване на документа): </w:t>
            </w:r>
            <w:r w:rsidRPr="00D17798">
              <w:rPr>
                <w:i/>
                <w:sz w:val="22"/>
              </w:rPr>
              <w:lastRenderedPageBreak/>
              <w:t>[……][……][……][……]</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lastRenderedPageBreak/>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посочени в съответното 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xml:space="preserve">, които може да са посочени в съответното обявление или в документацията за обществената поръчка, икономическият </w:t>
            </w:r>
            <w:r w:rsidRPr="00827C5F">
              <w:rPr>
                <w:sz w:val="22"/>
              </w:rPr>
              <w:lastRenderedPageBreak/>
              <w:t>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lastRenderedPageBreak/>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обществени поръчки за доставки и обществени поръчки за 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br/>
            </w:r>
            <w:r w:rsidRPr="00D17798">
              <w:rPr>
                <w:sz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 xml:space="preserve">При обществените поръчки за строителство икономическият оператор ще може да </w:t>
            </w:r>
            <w:r w:rsidRPr="00827C5F">
              <w:rPr>
                <w:sz w:val="22"/>
              </w:rPr>
              <w:lastRenderedPageBreak/>
              <w:t>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lastRenderedPageBreak/>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lastRenderedPageBreak/>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w:t>
            </w:r>
            <w:r w:rsidRPr="00827C5F">
              <w:rPr>
                <w:sz w:val="22"/>
              </w:rPr>
              <w:lastRenderedPageBreak/>
              <w:t>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lastRenderedPageBreak/>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lastRenderedPageBreak/>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9"/>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232" w:rsidRDefault="002C4232" w:rsidP="00934AC1">
      <w:pPr>
        <w:spacing w:before="0" w:after="0"/>
      </w:pPr>
      <w:r>
        <w:separator/>
      </w:r>
    </w:p>
  </w:endnote>
  <w:endnote w:type="continuationSeparator" w:id="0">
    <w:p w:rsidR="002C4232" w:rsidRDefault="002C4232"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720" w:rsidRPr="00446950" w:rsidRDefault="00544720" w:rsidP="00446950">
    <w:pPr>
      <w:pStyle w:val="Footer"/>
      <w:rPr>
        <w:rFonts w:ascii="Arial" w:hAnsi="Arial" w:cs="Arial"/>
        <w:b/>
        <w:sz w:val="48"/>
      </w:rPr>
    </w:pPr>
    <w:r w:rsidRPr="00446950">
      <w:rPr>
        <w:rFonts w:ascii="Arial" w:hAnsi="Arial" w:cs="Arial"/>
        <w:b/>
        <w:sz w:val="48"/>
      </w:rPr>
      <w:t>BG</w:t>
    </w:r>
    <w:r w:rsidRPr="00446950">
      <w:rPr>
        <w:rFonts w:ascii="Arial" w:hAnsi="Arial" w:cs="Arial"/>
        <w:b/>
        <w:sz w:val="48"/>
      </w:rPr>
      <w:tab/>
    </w:r>
    <w:fldSimple w:instr=" PAGE  \* MERGEFORMAT ">
      <w:r w:rsidR="003146B4">
        <w:rPr>
          <w:noProof/>
        </w:rPr>
        <w:t>1</w:t>
      </w:r>
    </w:fldSimple>
    <w:r>
      <w:tab/>
    </w:r>
    <w:fldSimple w:instr=" DOCVARIABLE &quot;LW_Confidence&quot; \* MERGEFORMAT ">
      <w:r w:rsidR="003146B4">
        <w:t xml:space="preserve"> </w:t>
      </w:r>
    </w:fldSimple>
    <w:r w:rsidRPr="00446950">
      <w:tab/>
    </w:r>
    <w:r w:rsidRPr="00446950">
      <w:rPr>
        <w:rFonts w:ascii="Arial" w:hAnsi="Arial" w:cs="Arial"/>
        <w:b/>
        <w:sz w:val="48"/>
      </w:rPr>
      <w:t>BG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232" w:rsidRDefault="002C4232" w:rsidP="00934AC1">
      <w:pPr>
        <w:spacing w:before="0" w:after="0"/>
      </w:pPr>
      <w:r>
        <w:separator/>
      </w:r>
    </w:p>
  </w:footnote>
  <w:footnote w:type="continuationSeparator" w:id="0">
    <w:p w:rsidR="002C4232" w:rsidRDefault="002C4232" w:rsidP="00934AC1">
      <w:pPr>
        <w:spacing w:before="0" w:after="0"/>
      </w:pPr>
      <w:r>
        <w:continuationSeparator/>
      </w:r>
    </w:p>
  </w:footnote>
  <w:footnote w:id="1">
    <w:p w:rsidR="00544720" w:rsidRPr="001A2A2A"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544720" w:rsidRPr="00011DCA"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544720" w:rsidRPr="00F74DE4"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w:t>
      </w:r>
      <w:proofErr w:type="gramStart"/>
      <w:r>
        <w:t>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roofErr w:type="gramEnd"/>
    </w:p>
  </w:footnote>
  <w:footnote w:id="4">
    <w:p w:rsidR="00544720" w:rsidRPr="00CC374C"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proofErr w:type="gramStart"/>
      <w:r>
        <w:rPr>
          <w:i/>
        </w:rPr>
        <w:t>Вж. точки II.</w:t>
      </w:r>
      <w:proofErr w:type="gramEnd"/>
      <w:r>
        <w:rPr>
          <w:i/>
        </w:rPr>
        <w:t xml:space="preserve"> 1.1 и II.1.3 от съответното обявление</w:t>
      </w:r>
    </w:p>
  </w:footnote>
  <w:footnote w:id="5">
    <w:p w:rsidR="00544720" w:rsidRPr="00603654"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r>
      <w:proofErr w:type="gramStart"/>
      <w:r>
        <w:rPr>
          <w:i/>
        </w:rPr>
        <w:t>Вж. точка II.</w:t>
      </w:r>
      <w:proofErr w:type="gramEnd"/>
      <w:r>
        <w:rPr>
          <w:i/>
        </w:rPr>
        <w:t xml:space="preserve"> 1.1 от съответното обявление</w:t>
      </w:r>
    </w:p>
  </w:footnote>
  <w:footnote w:id="6">
    <w:p w:rsidR="00544720" w:rsidRPr="002C475F"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proofErr w:type="gramStart"/>
      <w:r>
        <w:t>Моля повторете информацията относно лицата за контакт толкова пъти, колкото е необходимо.</w:t>
      </w:r>
      <w:proofErr w:type="gramEnd"/>
    </w:p>
  </w:footnote>
  <w:footnote w:id="7">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w:t>
      </w:r>
      <w:r>
        <w:rPr>
          <w:rStyle w:val="DeltaViewInsertion"/>
          <w:b w:val="0"/>
          <w:i w:val="0"/>
        </w:rPr>
        <w:t xml:space="preserve">Тази информация се изисква само за статистически цели. </w:t>
      </w:r>
      <w:r w:rsidRPr="00123AA0">
        <w:br/>
      </w:r>
      <w:r>
        <w:rPr>
          <w:rStyle w:val="DeltaViewInsertion"/>
          <w:i w:val="0"/>
        </w:rPr>
        <w:t>Микропредприятия: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w:t>
      </w:r>
      <w:proofErr w:type="gramStart"/>
      <w:r w:rsidRPr="00123AA0">
        <w:rPr>
          <w:b/>
        </w:rPr>
        <w:t>евро</w:t>
      </w:r>
      <w:proofErr w:type="gramEnd"/>
      <w:r w:rsidRPr="00123AA0">
        <w:rPr>
          <w:b/>
        </w:rPr>
        <w:t xml:space="preserve">,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Т.е. основната му цел е социалната и професионална интеграция на хора с увреждания или в неравностойно положение.</w:t>
      </w:r>
      <w:proofErr w:type="gramEnd"/>
    </w:p>
  </w:footnote>
  <w:footnote w:id="10">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roofErr w:type="gramEnd"/>
    </w:p>
  </w:footnote>
  <w:footnote w:id="11">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По-специално като част от група, консорциум, съвместно предприятие или други подобни.</w:t>
      </w:r>
      <w:proofErr w:type="gramEnd"/>
    </w:p>
  </w:footnote>
  <w:footnote w:id="12">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w:t>
      </w:r>
      <w:proofErr w:type="gramStart"/>
      <w:r w:rsidRPr="00123AA0">
        <w:t>г.,</w:t>
      </w:r>
      <w:proofErr w:type="gramEnd"/>
      <w:r w:rsidRPr="00123AA0">
        <w:t xml:space="preserve"> стр. 42).</w:t>
      </w:r>
    </w:p>
  </w:footnote>
  <w:footnote w:id="14">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w:t>
      </w:r>
      <w:proofErr w:type="gramStart"/>
      <w:r w:rsidRPr="00123AA0">
        <w:t>,  ОВ</w:t>
      </w:r>
      <w:proofErr w:type="gramEnd"/>
      <w:r w:rsidRPr="00123AA0">
        <w:t xml:space="preserve">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proofErr w:type="gramStart"/>
      <w:r w:rsidRPr="00123AA0">
        <w:t>г.,</w:t>
      </w:r>
      <w:proofErr w:type="gramEnd"/>
      <w:r w:rsidRPr="00123AA0">
        <w:t xml:space="preserve"> </w:t>
      </w:r>
      <w:proofErr w:type="spellStart"/>
      <w:r w:rsidRPr="00123AA0">
        <w:t>ст</w:t>
      </w:r>
      <w:r>
        <w:t>p</w:t>
      </w:r>
      <w:proofErr w:type="spellEnd"/>
      <w:r w:rsidRPr="00123AA0">
        <w:t xml:space="preserve">. 54). </w:t>
      </w:r>
      <w:proofErr w:type="gramStart"/>
      <w:r w:rsidRPr="00123AA0">
        <w:t>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roofErr w:type="gramEnd"/>
    </w:p>
  </w:footnote>
  <w:footnote w:id="15">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proofErr w:type="gramStart"/>
      <w:r w:rsidRPr="00123AA0">
        <w:t>г.,</w:t>
      </w:r>
      <w:proofErr w:type="gramEnd"/>
      <w:r w:rsidRPr="00123AA0">
        <w:t xml:space="preserve"> стр.</w:t>
      </w:r>
      <w:r>
        <w:t> </w:t>
      </w:r>
      <w:r w:rsidRPr="00123AA0">
        <w:t>48).</w:t>
      </w:r>
    </w:p>
  </w:footnote>
  <w:footnote w:id="16">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w:t>
      </w:r>
      <w:proofErr w:type="gramStart"/>
      <w:r w:rsidRPr="00123AA0">
        <w:t xml:space="preserve">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roofErr w:type="gramEnd"/>
    </w:p>
  </w:footnote>
  <w:footnote w:id="17">
    <w:p w:rsidR="00544720" w:rsidRPr="00AD02D8"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0">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1">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2">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roofErr w:type="gramEnd"/>
    </w:p>
  </w:footnote>
  <w:footnote w:id="23">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w:t>
      </w:r>
      <w:proofErr w:type="gramEnd"/>
      <w:r w:rsidRPr="00123AA0">
        <w:t xml:space="preserve"> </w:t>
      </w:r>
    </w:p>
  </w:footnote>
  <w:footnote w:id="24">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25">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 xml:space="preserve">Ако е приложимо, вж. </w:t>
      </w:r>
      <w:proofErr w:type="gramStart"/>
      <w:r w:rsidRPr="00123AA0">
        <w:rPr>
          <w:b/>
          <w:i/>
        </w:rPr>
        <w:t>определенията</w:t>
      </w:r>
      <w:proofErr w:type="gramEnd"/>
      <w:r w:rsidRPr="00123AA0">
        <w:rPr>
          <w:b/>
          <w:i/>
        </w:rPr>
        <w:t xml:space="preserve"> в националното законодателство, съответното обявление или в документацията за обществената поръчка.</w:t>
      </w:r>
    </w:p>
  </w:footnote>
  <w:footnote w:id="30">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2">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4">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Само ако е разрешено в съответното обявление или в документацията за обществената поръчка.</w:t>
      </w:r>
      <w:proofErr w:type="gramEnd"/>
    </w:p>
  </w:footnote>
  <w:footnote w:id="35">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6">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Например съотношението между активите и пасивите.</w:t>
      </w:r>
      <w:proofErr w:type="gramEnd"/>
    </w:p>
  </w:footnote>
  <w:footnote w:id="37">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38">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roofErr w:type="gramEnd"/>
    </w:p>
  </w:footnote>
  <w:footnote w:id="39">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roofErr w:type="gramEnd"/>
    </w:p>
  </w:footnote>
  <w:footnote w:id="40">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roofErr w:type="gramEnd"/>
    </w:p>
  </w:footnote>
  <w:footnote w:id="41">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roofErr w:type="gramEnd"/>
    </w:p>
  </w:footnote>
  <w:footnote w:id="42">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w:t>
      </w:r>
      <w:proofErr w:type="gramEnd"/>
      <w:r w:rsidRPr="00123AA0">
        <w:t xml:space="preserve"> </w:t>
      </w:r>
      <w:proofErr w:type="gramStart"/>
      <w:r w:rsidRPr="00123AA0">
        <w:t>част</w:t>
      </w:r>
      <w:proofErr w:type="gramEnd"/>
      <w:r w:rsidRPr="00123AA0">
        <w:t xml:space="preserve"> </w:t>
      </w:r>
      <w:r>
        <w:t>II</w:t>
      </w:r>
      <w:r w:rsidRPr="00123AA0">
        <w:t>, раздел В по-горе.</w:t>
      </w:r>
    </w:p>
  </w:footnote>
  <w:footnote w:id="44">
    <w:p w:rsidR="00544720" w:rsidRPr="00123AA0" w:rsidRDefault="00544720"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proofErr w:type="gramStart"/>
      <w:r w:rsidRPr="00123AA0">
        <w:t>Моля, посочете ясно към кой документ се отнася отговорът.</w:t>
      </w:r>
      <w:proofErr w:type="gramEnd"/>
    </w:p>
  </w:footnote>
  <w:footnote w:id="45">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6">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Моля да се повтори толкова пъти, колкото е необходимо.</w:t>
      </w:r>
      <w:proofErr w:type="gramEnd"/>
    </w:p>
  </w:footnote>
  <w:footnote w:id="47">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proofErr w:type="gramStart"/>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w:t>
      </w:r>
      <w:proofErr w:type="gramEnd"/>
      <w:r w:rsidRPr="00123AA0">
        <w:rPr>
          <w:i/>
        </w:rPr>
        <w:t xml:space="preserve"> Когато се изисква, това трябва да бъде съпроводено от съответното съгласие за достъп.</w:t>
      </w:r>
      <w:r w:rsidRPr="00123AA0">
        <w:rPr>
          <w:sz w:val="22"/>
        </w:rPr>
        <w:t xml:space="preserve"> </w:t>
      </w:r>
    </w:p>
  </w:footnote>
  <w:footnote w:id="48">
    <w:p w:rsidR="00544720" w:rsidRPr="00123AA0" w:rsidRDefault="00544720"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attachedTemplate r:id="rId1"/>
  <w:defaultTabStop w:val="720"/>
  <w:hyphenationZone w:val="425"/>
  <w:characterSpacingControl w:val="doNotCompress"/>
  <w:hdrShapeDefaults>
    <o:shapedefaults v:ext="edit" spidmax="3074"/>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907E2"/>
    <w:rsid w:val="000A1720"/>
    <w:rsid w:val="000C18CE"/>
    <w:rsid w:val="000C29F2"/>
    <w:rsid w:val="000D7114"/>
    <w:rsid w:val="000F0681"/>
    <w:rsid w:val="00107ED8"/>
    <w:rsid w:val="00123AA0"/>
    <w:rsid w:val="0013348D"/>
    <w:rsid w:val="00152F99"/>
    <w:rsid w:val="00165227"/>
    <w:rsid w:val="00167B3C"/>
    <w:rsid w:val="00170980"/>
    <w:rsid w:val="00181329"/>
    <w:rsid w:val="001B6CA9"/>
    <w:rsid w:val="001B76D0"/>
    <w:rsid w:val="001E6993"/>
    <w:rsid w:val="001F5ADF"/>
    <w:rsid w:val="00203DEB"/>
    <w:rsid w:val="00217115"/>
    <w:rsid w:val="0023463F"/>
    <w:rsid w:val="002413F2"/>
    <w:rsid w:val="0025417D"/>
    <w:rsid w:val="002A222C"/>
    <w:rsid w:val="002C4232"/>
    <w:rsid w:val="002E2074"/>
    <w:rsid w:val="002E5915"/>
    <w:rsid w:val="00302A28"/>
    <w:rsid w:val="00311A5E"/>
    <w:rsid w:val="003146B4"/>
    <w:rsid w:val="00355892"/>
    <w:rsid w:val="003559FF"/>
    <w:rsid w:val="00392602"/>
    <w:rsid w:val="003D5E6C"/>
    <w:rsid w:val="003D641D"/>
    <w:rsid w:val="003E3099"/>
    <w:rsid w:val="0040236E"/>
    <w:rsid w:val="004141DF"/>
    <w:rsid w:val="00424564"/>
    <w:rsid w:val="004314E5"/>
    <w:rsid w:val="00436087"/>
    <w:rsid w:val="00440C60"/>
    <w:rsid w:val="00446950"/>
    <w:rsid w:val="0047201F"/>
    <w:rsid w:val="00472768"/>
    <w:rsid w:val="0047411D"/>
    <w:rsid w:val="00477FD9"/>
    <w:rsid w:val="0048273C"/>
    <w:rsid w:val="004E6C77"/>
    <w:rsid w:val="004F124C"/>
    <w:rsid w:val="004F290F"/>
    <w:rsid w:val="004F5E8D"/>
    <w:rsid w:val="004F75F4"/>
    <w:rsid w:val="004F7AB5"/>
    <w:rsid w:val="00502C7C"/>
    <w:rsid w:val="005065EF"/>
    <w:rsid w:val="00542E41"/>
    <w:rsid w:val="0054356F"/>
    <w:rsid w:val="00544720"/>
    <w:rsid w:val="0055395B"/>
    <w:rsid w:val="0055536A"/>
    <w:rsid w:val="00557FCF"/>
    <w:rsid w:val="00592FEC"/>
    <w:rsid w:val="005950CF"/>
    <w:rsid w:val="005C1EC1"/>
    <w:rsid w:val="005C475D"/>
    <w:rsid w:val="005F0BB8"/>
    <w:rsid w:val="005F1831"/>
    <w:rsid w:val="005F41CC"/>
    <w:rsid w:val="00601C6E"/>
    <w:rsid w:val="0063647F"/>
    <w:rsid w:val="0064289D"/>
    <w:rsid w:val="006569C0"/>
    <w:rsid w:val="00683063"/>
    <w:rsid w:val="006951C8"/>
    <w:rsid w:val="006C2C14"/>
    <w:rsid w:val="006E2B81"/>
    <w:rsid w:val="00712FD8"/>
    <w:rsid w:val="00723131"/>
    <w:rsid w:val="0072759C"/>
    <w:rsid w:val="00741F90"/>
    <w:rsid w:val="00756B07"/>
    <w:rsid w:val="00756F05"/>
    <w:rsid w:val="00780AF7"/>
    <w:rsid w:val="007A1A5F"/>
    <w:rsid w:val="007D43B2"/>
    <w:rsid w:val="007F071F"/>
    <w:rsid w:val="00804540"/>
    <w:rsid w:val="00816CF6"/>
    <w:rsid w:val="008212DD"/>
    <w:rsid w:val="00822E2D"/>
    <w:rsid w:val="00822E94"/>
    <w:rsid w:val="008258D3"/>
    <w:rsid w:val="00827C5F"/>
    <w:rsid w:val="0083483B"/>
    <w:rsid w:val="00851A30"/>
    <w:rsid w:val="00853284"/>
    <w:rsid w:val="0087012C"/>
    <w:rsid w:val="008705D7"/>
    <w:rsid w:val="0087260B"/>
    <w:rsid w:val="00892540"/>
    <w:rsid w:val="008C16BD"/>
    <w:rsid w:val="008D0657"/>
    <w:rsid w:val="008D68EC"/>
    <w:rsid w:val="00902A45"/>
    <w:rsid w:val="0090436C"/>
    <w:rsid w:val="00913001"/>
    <w:rsid w:val="0092530A"/>
    <w:rsid w:val="00934AC1"/>
    <w:rsid w:val="0097118C"/>
    <w:rsid w:val="0099241A"/>
    <w:rsid w:val="0099402D"/>
    <w:rsid w:val="00A01766"/>
    <w:rsid w:val="00A050B8"/>
    <w:rsid w:val="00A07265"/>
    <w:rsid w:val="00A3003C"/>
    <w:rsid w:val="00A43881"/>
    <w:rsid w:val="00A46018"/>
    <w:rsid w:val="00A739D0"/>
    <w:rsid w:val="00A9384F"/>
    <w:rsid w:val="00AC3A60"/>
    <w:rsid w:val="00AC519B"/>
    <w:rsid w:val="00AD02D8"/>
    <w:rsid w:val="00AD0585"/>
    <w:rsid w:val="00AF159B"/>
    <w:rsid w:val="00B16014"/>
    <w:rsid w:val="00B36111"/>
    <w:rsid w:val="00B37880"/>
    <w:rsid w:val="00B4041D"/>
    <w:rsid w:val="00B62562"/>
    <w:rsid w:val="00B81791"/>
    <w:rsid w:val="00B86259"/>
    <w:rsid w:val="00BA60D4"/>
    <w:rsid w:val="00BE08B3"/>
    <w:rsid w:val="00BE0A13"/>
    <w:rsid w:val="00BE162E"/>
    <w:rsid w:val="00C0235C"/>
    <w:rsid w:val="00C107F7"/>
    <w:rsid w:val="00C20C95"/>
    <w:rsid w:val="00C24235"/>
    <w:rsid w:val="00C32944"/>
    <w:rsid w:val="00C42B5F"/>
    <w:rsid w:val="00C55D7C"/>
    <w:rsid w:val="00C66B6B"/>
    <w:rsid w:val="00C757DA"/>
    <w:rsid w:val="00C95850"/>
    <w:rsid w:val="00CB1E26"/>
    <w:rsid w:val="00CB4AC6"/>
    <w:rsid w:val="00CD03BF"/>
    <w:rsid w:val="00CD0473"/>
    <w:rsid w:val="00CF3687"/>
    <w:rsid w:val="00D15D85"/>
    <w:rsid w:val="00D17798"/>
    <w:rsid w:val="00D43449"/>
    <w:rsid w:val="00D81BDA"/>
    <w:rsid w:val="00D916BB"/>
    <w:rsid w:val="00DC528F"/>
    <w:rsid w:val="00E2472D"/>
    <w:rsid w:val="00E354E3"/>
    <w:rsid w:val="00E54FBC"/>
    <w:rsid w:val="00E56C58"/>
    <w:rsid w:val="00E61423"/>
    <w:rsid w:val="00E67BA0"/>
    <w:rsid w:val="00E72373"/>
    <w:rsid w:val="00E82BD7"/>
    <w:rsid w:val="00EA19AB"/>
    <w:rsid w:val="00ED14DC"/>
    <w:rsid w:val="00ED2D84"/>
    <w:rsid w:val="00EF348C"/>
    <w:rsid w:val="00F07C96"/>
    <w:rsid w:val="00F103F6"/>
    <w:rsid w:val="00F21412"/>
    <w:rsid w:val="00F46783"/>
    <w:rsid w:val="00F50936"/>
    <w:rsid w:val="00F53B19"/>
    <w:rsid w:val="00F547B1"/>
    <w:rsid w:val="00F56811"/>
    <w:rsid w:val="00F80F74"/>
    <w:rsid w:val="00FA0A92"/>
    <w:rsid w:val="00FC055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lang w:val="en-GB"/>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lang w:val="en-GB"/>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szCs w:val="20"/>
      <w:lang w:val="en-GB"/>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szCs w:val="20"/>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rPr>
      <w:szCs w:val="20"/>
      <w:lang w:val="en-GB"/>
    </w:r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rPr>
      <w:szCs w:val="20"/>
      <w:lang w:val="en-GB"/>
    </w:r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lang w:val="en-GB"/>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 w:type="paragraph" w:styleId="BodyText">
    <w:name w:val="Body Text"/>
    <w:basedOn w:val="Normal"/>
    <w:link w:val="BodyTextChar"/>
    <w:rsid w:val="003146B4"/>
    <w:pPr>
      <w:autoSpaceDE w:val="0"/>
      <w:autoSpaceDN w:val="0"/>
      <w:spacing w:before="0" w:after="0"/>
    </w:pPr>
    <w:rPr>
      <w:rFonts w:eastAsia="Times New Roman"/>
      <w:szCs w:val="24"/>
      <w:lang w:eastAsia="en-US"/>
    </w:rPr>
  </w:style>
  <w:style w:type="character" w:customStyle="1" w:styleId="BodyTextChar">
    <w:name w:val="Body Text Char"/>
    <w:basedOn w:val="DefaultParagraphFont"/>
    <w:link w:val="BodyText"/>
    <w:rsid w:val="003146B4"/>
    <w:rPr>
      <w:rFonts w:ascii="Times New Roman" w:eastAsia="Times New Roman" w:hAnsi="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hyperlink" Target="http://www.kznpp.org/index.php?lang=bg&amp;p=actuality&amp;p1=communally_orders&amp;id=404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80B5EB-4176-4BC1-ABD0-66AF84D4C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0</TotalTime>
  <Pages>19</Pages>
  <Words>4566</Words>
  <Characters>26029</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2</cp:revision>
  <cp:lastPrinted>2018-12-05T08:58:00Z</cp:lastPrinted>
  <dcterms:created xsi:type="dcterms:W3CDTF">2018-12-05T08:58:00Z</dcterms:created>
  <dcterms:modified xsi:type="dcterms:W3CDTF">2018-12-05T08:58:00Z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